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6"/>
        <w:gridCol w:w="874"/>
        <w:gridCol w:w="855"/>
        <w:gridCol w:w="1711"/>
        <w:gridCol w:w="1707"/>
        <w:gridCol w:w="850"/>
        <w:gridCol w:w="849"/>
        <w:gridCol w:w="1716"/>
        <w:gridCol w:w="1727"/>
        <w:gridCol w:w="1734"/>
        <w:tblGridChange w:id="0">
          <w:tblGrid>
            <w:gridCol w:w="1926"/>
            <w:gridCol w:w="874"/>
            <w:gridCol w:w="855"/>
            <w:gridCol w:w="1711"/>
            <w:gridCol w:w="1707"/>
            <w:gridCol w:w="850"/>
            <w:gridCol w:w="849"/>
            <w:gridCol w:w="1716"/>
            <w:gridCol w:w="1727"/>
            <w:gridCol w:w="17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68061" cy="106134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61" cy="10613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03">
            <w:pPr>
              <w:rPr>
                <w:rFonts w:ascii="Arial Black" w:cs="Arial Black" w:eastAsia="Arial Black" w:hAnsi="Arial Black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36"/>
                <w:szCs w:val="36"/>
                <w:rtl w:val="0"/>
              </w:rPr>
              <w:t xml:space="preserve">UNIVERSITAS BRAWIJAYA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FAKULTAS ILMU BUDAYA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JURUSAN SENI DAN ANTROPOLOGI BUDAYA/ PROGRAM STUDI ANTROPOLOGI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RENCANA PEMBELAJARAN SEMESTER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MATA KULIAH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</w:t>
            </w:r>
          </w:p>
        </w:tc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RUMPUN MATA KULIAH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BOBOT (sks)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Tgl. Penyusunan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Folklore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ANT61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18 Agustus 2023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OTORISASI</w:t>
            </w:r>
          </w:p>
        </w:tc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Dosen Pengembang RPS</w:t>
            </w:r>
          </w:p>
        </w:tc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Koordinator RMK</w:t>
            </w:r>
          </w:p>
        </w:tc>
        <w:tc>
          <w:tcPr>
            <w:gridSpan w:val="2"/>
            <w:shd w:fill="dbeef3" w:val="clea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 Prodi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Yayuk Windarti, M.Si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Tanda Tangan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Siti Zurinani, M.A</w:t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Capaian Pembelajaran</w:t>
            </w:r>
          </w:p>
        </w:tc>
        <w:tc>
          <w:tcPr>
            <w:gridSpan w:val="9"/>
            <w:shd w:fill="dbeef3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CPL PRODI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CPL1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konsep &amp; teori tentang kebudayaan dan keragaman budaya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CPL 2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Mampu menyesuaikan pendekatan antropologi yang relevan dalam mengkaji fenomena sosial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beef3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CPMK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CPMK1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konsep dan teori dalam kajian folklore secara logis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CPMK2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keragaman sosial budaya secara etis dan bertanggungjawab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CPMK3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Mengkritisi fenomena dinamika sosial budaya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Matrik CPMK Terhadap CPL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60.0" w:type="dxa"/>
              <w:jc w:val="left"/>
              <w:tblLayout w:type="fixed"/>
              <w:tblLook w:val="0400"/>
            </w:tblPr>
            <w:tblGrid>
              <w:gridCol w:w="2062"/>
              <w:gridCol w:w="1549"/>
              <w:gridCol w:w="1549"/>
              <w:tblGridChange w:id="0">
                <w:tblGrid>
                  <w:gridCol w:w="2062"/>
                  <w:gridCol w:w="1549"/>
                  <w:gridCol w:w="1549"/>
                </w:tblGrid>
              </w:tblGridChange>
            </w:tblGrid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CPL1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CPL2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1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CPMK1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CPMK2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CPMK3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Desikripsi Singkat MK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Mata kuliah ini mengundang mahasiswa untuk aktif membicarakan sebagian dari kebudayaan Indonesia yang disebarkan serta diwariskan secara lisan. Pembicaraan akan meliput pula ihwal contoh-contohnya yang disertai perbuatan, serta alat-alat bantunya untuk mengingat. Pada awal acara-acara diskusi akan dibicarakan ihwal klasifikasi folklore konsep-konsep, teori-teori dan metode pengumpulan folklor. Bentuk-bentuk folklor yang akan dibicarakan adalah tradisi lisan, bahasa rakyat, peribahasa, teka-teki, cerita prosa rakyat, permainan rakyat, nyayian dan ritus pertunjukkan, kepercayaan rakyat, hantu dan makhluk lain yang tak tampak, rumor, gosip dan hoax. 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 Pembelajaran / Pokok Bahasan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rencana pembelajaran kelas folklore selama satu semester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konsep dan bentuk folklore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pendekatan studi folklore dan metode penelitian folklore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dan mengaplikasikan pendekatan strukturalisme dalam folklore 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Memahami konsep dualisme dalam ragam bentuk folklore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fungsi folklore lewat contoh folklore lisan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fungsi dan praktik folklore berkaitan dengan isu lingkungan di masyarakat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Menjelaskan beragam folkore melalui studi kasus yang relevan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Merancang paper analisis folklore dari berbagai daerah di Indonesia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Mempresentasikan paper analisis folklore dari berbagai daerah di Indonesia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UAS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Pustaka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Utama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Danandjaja, James (1985). Folklor dan cerita-cerita rakyat. Jakarta: Balai Pustaka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53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Levi-Strauss, Claude (1976). “Ch. IX. The Story of Asdiwal” di dalam Structural Anthropology Volume 2. Chicago: The University of Chicago Press.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Pendukung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Leach, Edmund. (1970). “The Structure of Myth”, di dalam Claude Levi-Strauss. New York: The Viking Press. Pg. 67-86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Malinowski, B. (2016). Myth in primitive psychology. In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Myths and Mythologies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(pp. 146-157). Routledge.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Douglas, M. (1967). The Meaning of Myth With special reference to'La Geste d'Asdiwal'Social anthropology, as we know it, was born of a professedly empirical approach. And it was first developed in Britain. These.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The structural study of myth and totemism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 49.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Putri, N. Q. H., ANDAYANİ, A., &amp; WARDANİ, N. E. (2022). The Structure of Tempuutn Langit Tana: An Ethnographic Study of an Indonesian Myth.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Folklor/Edebiyat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(112), 1135-1148.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Sunanang, A., &amp; Luthfi, A. (2015). Mitos Dayeuh Lemah Kaputihan pada Masyarakat Dusun Jalawastu Kabupaten Brebes (Tinjauan Strukturalisme Levi-Strauss).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Solidarity: Journal of Education, Society and Culture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Rappoport, D. (2014). Songs and sorrow in Tanjung Bunga: Music and the myth of the origin of rice (Lamaholot, Flores, Indonesia).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Bijdragen tot de taal-, land-en volkenkunde/Journal of the Humanities and Social Sciences of Southeast Asia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(2-3), 215-249.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Setyowati, N., Emzir, E., &amp; Lustyantie, N. (2020). Nature and social attitude in folklore entitled Timun Mas: Eco-critical study.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Journal of Applied Studies in Language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(1), 38-47.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Riley, E. P. (2010). The importance of human–macaque folklore for conservation in Lore Lindu National Park, Sulawesi, Indonesia.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Oryx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(2), 235-240.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Sulawesi, Indonesia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2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Duile, T. (2020). Kuntilanak: ghost narratives and Malay modernity in Pontianak, Indonesia.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Bijdragen tot de taal-, land-en volkenkunde/Journal of the Humanities and Social Sciences of Southeast Asia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(2-3), 279-303.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Pembelajaran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Perangkat Lunak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Perangkat Keras 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 </w:t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Dll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LCD </w:t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Dll</w:t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Teaching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Mata Kuliah Syarat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1616.0" w:type="dxa"/>
        <w:jc w:val="left"/>
        <w:tblInd w:w="7.0" w:type="dxa"/>
        <w:tblLayout w:type="fixed"/>
        <w:tblLook w:val="0400"/>
      </w:tblPr>
      <w:tblGrid>
        <w:gridCol w:w="926"/>
        <w:gridCol w:w="1878"/>
        <w:gridCol w:w="1866"/>
        <w:gridCol w:w="1145"/>
        <w:gridCol w:w="2199"/>
        <w:gridCol w:w="1132"/>
        <w:gridCol w:w="4006"/>
        <w:gridCol w:w="1080"/>
        <w:gridCol w:w="2897"/>
        <w:gridCol w:w="2897"/>
        <w:gridCol w:w="2897"/>
        <w:gridCol w:w="2897"/>
        <w:gridCol w:w="2897"/>
        <w:gridCol w:w="2899"/>
        <w:tblGridChange w:id="0">
          <w:tblGrid>
            <w:gridCol w:w="926"/>
            <w:gridCol w:w="1878"/>
            <w:gridCol w:w="1866"/>
            <w:gridCol w:w="1145"/>
            <w:gridCol w:w="2199"/>
            <w:gridCol w:w="1132"/>
            <w:gridCol w:w="4006"/>
            <w:gridCol w:w="1080"/>
            <w:gridCol w:w="2897"/>
            <w:gridCol w:w="2897"/>
            <w:gridCol w:w="2897"/>
            <w:gridCol w:w="2897"/>
            <w:gridCol w:w="2897"/>
            <w:gridCol w:w="2899"/>
          </w:tblGrid>
        </w:tblGridChange>
      </w:tblGrid>
      <w:tr>
        <w:trPr>
          <w:cantSplit w:val="0"/>
          <w:trHeight w:val="16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Minggu ke-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Sub-CP-MK 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firstLine="46"/>
              <w:rPr/>
            </w:pPr>
            <w:r w:rsidDel="00000000" w:rsidR="00000000" w:rsidRPr="00000000">
              <w:rPr>
                <w:rtl w:val="0"/>
              </w:rPr>
              <w:t xml:space="preserve">(sebagai kemampuan akhir yang diharapkan)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Indikator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Kriteria &amp; 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 </w:t>
            </w:r>
          </w:p>
          <w:p w:rsidR="00000000" w:rsidDel="00000000" w:rsidP="00000000" w:rsidRDefault="00000000" w:rsidRPr="00000000" w14:paraId="000001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Penilaian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 / </w:t>
            </w:r>
          </w:p>
          <w:p w:rsidR="00000000" w:rsidDel="00000000" w:rsidP="00000000" w:rsidRDefault="00000000" w:rsidRPr="00000000" w14:paraId="00000141">
            <w:pPr>
              <w:spacing w:after="0" w:lineRule="auto"/>
              <w:ind w:left="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Metode/Pengalaman </w:t>
            </w:r>
          </w:p>
          <w:p w:rsidR="00000000" w:rsidDel="00000000" w:rsidP="00000000" w:rsidRDefault="00000000" w:rsidRPr="00000000" w14:paraId="000001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Pembelajaran </w:t>
            </w:r>
          </w:p>
          <w:p w:rsidR="00000000" w:rsidDel="00000000" w:rsidP="00000000" w:rsidRDefault="00000000" w:rsidRPr="00000000" w14:paraId="00000143">
            <w:pPr>
              <w:spacing w:after="3" w:line="233" w:lineRule="auto"/>
              <w:rPr/>
            </w:pPr>
            <w:r w:rsidDel="00000000" w:rsidR="00000000" w:rsidRPr="00000000">
              <w:rPr>
                <w:rtl w:val="0"/>
              </w:rPr>
              <w:t xml:space="preserve">(Kuliah / Tugas / bentuk </w:t>
            </w:r>
          </w:p>
          <w:p w:rsidR="00000000" w:rsidDel="00000000" w:rsidP="00000000" w:rsidRDefault="00000000" w:rsidRPr="00000000" w14:paraId="00000144">
            <w:pPr>
              <w:spacing w:after="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pembelajaran lain)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Waktu </w:t>
            </w:r>
          </w:p>
          <w:p w:rsidR="00000000" w:rsidDel="00000000" w:rsidP="00000000" w:rsidRDefault="00000000" w:rsidRPr="00000000" w14:paraId="000001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(Durasi)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Materi </w:t>
            </w:r>
          </w:p>
          <w:p w:rsidR="00000000" w:rsidDel="00000000" w:rsidP="00000000" w:rsidRDefault="00000000" w:rsidRPr="00000000" w14:paraId="00000148">
            <w:pPr>
              <w:spacing w:after="0" w:lineRule="auto"/>
              <w:ind w:left="80" w:firstLine="0"/>
              <w:rPr/>
            </w:pPr>
            <w:r w:rsidDel="00000000" w:rsidR="00000000" w:rsidRPr="00000000">
              <w:rPr>
                <w:rtl w:val="0"/>
              </w:rPr>
              <w:t xml:space="preserve">Pembelajaran / </w:t>
            </w:r>
          </w:p>
          <w:p w:rsidR="00000000" w:rsidDel="00000000" w:rsidP="00000000" w:rsidRDefault="00000000" w:rsidRPr="00000000" w14:paraId="000001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Bahan Kajian </w:t>
            </w:r>
          </w:p>
          <w:p w:rsidR="00000000" w:rsidDel="00000000" w:rsidP="00000000" w:rsidRDefault="00000000" w:rsidRPr="00000000" w14:paraId="000001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[Pustaka]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1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Bobot </w:t>
            </w:r>
          </w:p>
          <w:p w:rsidR="00000000" w:rsidDel="00000000" w:rsidP="00000000" w:rsidRDefault="00000000" w:rsidRPr="00000000" w14:paraId="000001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Penilaian </w:t>
            </w:r>
          </w:p>
          <w:p w:rsidR="00000000" w:rsidDel="00000000" w:rsidP="00000000" w:rsidRDefault="00000000" w:rsidRPr="00000000" w14:paraId="000001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(%) </w:t>
            </w:r>
          </w:p>
        </w:tc>
      </w:tr>
      <w:tr>
        <w:trPr>
          <w:cantSplit w:val="0"/>
          <w:trHeight w:val="6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rencana pembelajaran kelas folklore selama satu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33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Mahasiswa memperoleh gambaran general terkait bahan-bahan yang didiskusikan dalam mata kuliah folklore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5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Danandjaja, James (1985). Folklor dan cerita-cerita rakyat. Jakarta: Balai Pustaka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Dundes, A. (1965). The study of folklore in literature and culture: Identification and interpretation.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The Journal of American Folklore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78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(308).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3%</w:t>
            </w:r>
          </w:p>
        </w:tc>
      </w:tr>
      <w:tr>
        <w:trPr>
          <w:cantSplit w:val="0"/>
          <w:trHeight w:val="2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konsep dan bentuk folklore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Kemampuan </w:t>
            </w:r>
          </w:p>
          <w:p w:rsidR="00000000" w:rsidDel="00000000" w:rsidP="00000000" w:rsidRDefault="00000000" w:rsidRPr="00000000" w14:paraId="00000160">
            <w:pPr>
              <w:spacing w:after="0" w:lineRule="auto"/>
              <w:ind w:left="5" w:right="1" w:firstLine="0"/>
              <w:rPr/>
            </w:pPr>
            <w:r w:rsidDel="00000000" w:rsidR="00000000" w:rsidRPr="00000000">
              <w:rPr>
                <w:rtl w:val="0"/>
              </w:rPr>
              <w:t xml:space="preserve">menjelasakan mendefinisikan pengertian, bentuk, dan konsep-konsep dasar dalam studi folklore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  <w:p w:rsidR="00000000" w:rsidDel="00000000" w:rsidP="00000000" w:rsidRDefault="00000000" w:rsidRPr="00000000" w14:paraId="00000162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6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6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67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Danandjaja, James (1985). Folklor dan cerita-cerita rakyat. Jakarta: Balai Pustaka. </w:t>
              <w:br w:type="textWrapping"/>
              <w:t xml:space="preserve">Hlm 1-50.</w:t>
              <w:br w:type="textWrapping"/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Dundes, A. (1965). The study of folklore in literature and culture: Identification and interpretation.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The Journal of American Folklore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78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(308).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3%</w:t>
            </w:r>
          </w:p>
        </w:tc>
      </w:tr>
      <w:tr>
        <w:trPr>
          <w:cantSplit w:val="0"/>
          <w:trHeight w:val="19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konsep dan bentuk folklore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Kemampuan menjelaskan ragam bentuk folklore lisan, sebagian lisan, dan bukan lisan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Review  </w:t>
            </w:r>
          </w:p>
          <w:p w:rsidR="00000000" w:rsidDel="00000000" w:rsidP="00000000" w:rsidRDefault="00000000" w:rsidRPr="00000000" w14:paraId="00000171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7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7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7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Danandjaja, James (1985). Folklor dan cerita-cerita rakyat. Jakarta: Balai Pustaka. </w:t>
              <w:br w:type="textWrapping"/>
              <w:t xml:space="preserve">Hlm 50-140.</w:t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Malinowski, B. (2016). Myth in primitive psychology. In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Myths and Mythologies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 (pp. 146-157). Routledge.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3%</w:t>
            </w:r>
          </w:p>
        </w:tc>
      </w:tr>
      <w:tr>
        <w:trPr>
          <w:cantSplit w:val="0"/>
          <w:trHeight w:val="2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Memahami pendekatan studi folklore dan metode penelitian folklore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Kemampuan </w:t>
            </w:r>
          </w:p>
          <w:p w:rsidR="00000000" w:rsidDel="00000000" w:rsidP="00000000" w:rsidRDefault="00000000" w:rsidRPr="00000000" w14:paraId="0000017F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menjelasakan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pendekatan studi folklore dan metode penelitian folklore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  <w:p w:rsidR="00000000" w:rsidDel="00000000" w:rsidP="00000000" w:rsidRDefault="00000000" w:rsidRPr="00000000" w14:paraId="00000181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8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8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Leach, Edmund. (1970). “The Structure of Myth”, di dalam Claude Levi-Strauss. New York: The Viking Press. Pg. 67-86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3%</w:t>
            </w:r>
          </w:p>
        </w:tc>
      </w:tr>
      <w:tr>
        <w:trPr>
          <w:cantSplit w:val="0"/>
          <w:trHeight w:val="19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Memahami akar pendekatan strukturalisme Levi Strauss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Ketepatan dalam menjelaskan pendekatan strukturalisme Levi Strauss dengan membedah mitos Asdiwal</w:t>
            </w:r>
          </w:p>
          <w:p w:rsidR="00000000" w:rsidDel="00000000" w:rsidP="00000000" w:rsidRDefault="00000000" w:rsidRPr="00000000" w14:paraId="0000018E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 </w:t>
            </w:r>
          </w:p>
          <w:p w:rsidR="00000000" w:rsidDel="00000000" w:rsidP="00000000" w:rsidRDefault="00000000" w:rsidRPr="00000000" w14:paraId="00000190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9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95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Levi-Strauss, Claude (1976). “Ch. IX. The Story of Asdiwal” di dalam Structural Anthropology Volume 2. Chicago: The University of Chicago Press. 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Douglas, M. (1967). The Meaning of Myth With special reference to'La Geste d'Asdiwal'Social anthropology, as we know it, was born of a professedly empirical approach. And it was first developed in Britain. These.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The structural study of myth and totemism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 49.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Mengaplikasikan pendekatan strukturalisme dalam folklore melalui analisis mitos yang relevan  </w:t>
            </w:r>
          </w:p>
          <w:p w:rsidR="00000000" w:rsidDel="00000000" w:rsidP="00000000" w:rsidRDefault="00000000" w:rsidRPr="00000000" w14:paraId="0000019D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Ketepatan dalam 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engaplikasikan pendekatan strukturalisme dalam folklore melalui analisis mitos yang relevan  </w:t>
            </w:r>
          </w:p>
          <w:p w:rsidR="00000000" w:rsidDel="00000000" w:rsidP="00000000" w:rsidRDefault="00000000" w:rsidRPr="00000000" w14:paraId="0000019F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after="24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A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Putri, N. Q. H., ANDAYANİ, A., &amp; WARDANİ, N. E. (2022). The Structure of Tempuutn Langit Tana: An Ethnographic Study of an Indonesian Myth.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Folklor/Edebiyat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(112), 1135-1148.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Sunanang, A., &amp; Luthfi, A. (2015). Mitos Dayeuh Lemah Kaputihan pada Masyarakat Dusun Jalawastu Kabupaten Brebes (Tinjauan Strukturalisme Levi-Strauss).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Solidarity: Journal of Education, Society and Culture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(1).</w:t>
            </w:r>
          </w:p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3%</w:t>
            </w:r>
          </w:p>
        </w:tc>
      </w:tr>
      <w:tr>
        <w:trPr>
          <w:cantSplit w:val="0"/>
          <w:trHeight w:val="2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Menganalisis beragam praktik folklore di Indonesia dengan pendekatan strukturalisme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Menganalisis beragam praktik folklore di Indonesia dengan pendekatan strukturalisme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B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B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B6">
            <w:pPr>
              <w:spacing w:after="0" w:lineRule="auto"/>
              <w:ind w:left="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after="41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Kelas </w:t>
            </w:r>
          </w:p>
          <w:p w:rsidR="00000000" w:rsidDel="00000000" w:rsidP="00000000" w:rsidRDefault="00000000" w:rsidRPr="00000000" w14:paraId="000001B8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Cacciafoco, F. P., &amp; Cavallaro, F. (2017). The legend of Lamòling: Unwritten memories and diachronic toponymy through the lens of an Abui myth.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Lingua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193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 51-61.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after="0" w:lineRule="auto"/>
              <w:ind w:left="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1B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1BC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Ujian Tengah Semester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cantSplit w:val="0"/>
          <w:trHeight w:val="30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Memahami konsep dualisme dalam ragam bentuk folklore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Ketepatan dalam mengidentifikasi dan menganalisis konsep dualisme pada pendekatan strukturalisme dalam folklore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  <w:p w:rsidR="00000000" w:rsidDel="00000000" w:rsidP="00000000" w:rsidRDefault="00000000" w:rsidRPr="00000000" w14:paraId="000001CD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C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D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D2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3x50”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Duile, T. (2020). Kuntilanak: ghost narratives and Malay modernity in Pontianak, Indonesia.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Bijdragen tot de taal-, land-en volkenkunde/Journal of the Humanities and Social Sciences of Southeast Asia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176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(2-3), 279-303.</w:t>
            </w:r>
          </w:p>
          <w:p w:rsidR="00000000" w:rsidDel="00000000" w:rsidP="00000000" w:rsidRDefault="00000000" w:rsidRPr="00000000" w14:paraId="000001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8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fungsi folklore lewat contoh folklore lisan </w:t>
            </w:r>
          </w:p>
          <w:p w:rsidR="00000000" w:rsidDel="00000000" w:rsidP="00000000" w:rsidRDefault="00000000" w:rsidRPr="00000000" w14:paraId="000001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Ketepatan dalam menjelaskan fungsi folksong sebagai bentuk folklore lisan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  <w:p w:rsidR="00000000" w:rsidDel="00000000" w:rsidP="00000000" w:rsidRDefault="00000000" w:rsidRPr="00000000" w14:paraId="000001DD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D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E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E2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 3x50”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Rappoport, D. (2014). Songs and sorrow in Tanjung Bunga: Music and the myth of the origin of rice (Lamaholot, Flores, Indonesia).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Bijdragen tot de taal-, land-en volkenkunde/Journal of the Humanities and Social Sciences of Southeast Asia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(2-3), 215-249.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4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after="0" w:lineRule="auto"/>
              <w:ind w:left="6" w:right="86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Menjelaskan fungsi dan praktik folklore berkaitan dengan isu lingkungan di masyarakat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Ketepatan dalam mengidentifikasi dan menjelaskan fungsi dan praktik folklore berkaitan dengan isu lingkungan di masyarakat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E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E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EF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 3x50”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Setyowati, N., Emzir, E., &amp; Lustyantie, N. (2020). Nature and social attitude in folklore entitled Timun Mas: Eco-critical study.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Journal of Applied Studies in Language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(1), 38-47.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Riley, E. P. (2010). The importance of human–macaque folklore for conservation in Lore Lindu National Park, Sulawesi, Indonesia.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Oryx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44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(2), 235-240.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, Sulawesi, Indonesia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Merancang paper analisis folklore dari berbagai daerah di Indonesia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Ketepatan dalam menganalisis folklore dengan pendekatan strukturalisme melalui studi kasus yang relevan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keaktifan dan kehadiran  </w:t>
            </w:r>
          </w:p>
          <w:p w:rsidR="00000000" w:rsidDel="00000000" w:rsidP="00000000" w:rsidRDefault="00000000" w:rsidRPr="00000000" w14:paraId="000001F8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F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F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1FD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after="3" w:line="233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Praktikum 3x50”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Jurnal, referensi berita aktual, fenomena terkait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3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Mempresentasikan paper analisis folklore dari berbagai daerah di Indonesia</w:t>
            </w:r>
          </w:p>
          <w:p w:rsidR="00000000" w:rsidDel="00000000" w:rsidP="00000000" w:rsidRDefault="00000000" w:rsidRPr="00000000" w14:paraId="00000203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Ketepatan dalam mempresentasikan ragam folklore dengan pendekatan strukturalisme melalui studi kasus yang relevan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Bentuk Penilaian:</w:t>
            </w:r>
            <w:r w:rsidDel="00000000" w:rsidR="00000000" w:rsidRPr="00000000">
              <w:rPr>
                <w:b w:val="1"/>
                <w:rtl w:val="0"/>
              </w:rPr>
              <w:t xml:space="preserve"> tugas paper </w:t>
            </w:r>
          </w:p>
          <w:p w:rsidR="00000000" w:rsidDel="00000000" w:rsidP="00000000" w:rsidRDefault="00000000" w:rsidRPr="00000000" w14:paraId="0000020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20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2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0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2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Kelas 3x50”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Jurnal, referensi berita aktual, fenomena terkait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14-15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Mempresentasikan paper analisis folklore dari berbagai daerah di Indonesia</w:t>
            </w:r>
          </w:p>
          <w:p w:rsidR="00000000" w:rsidDel="00000000" w:rsidP="00000000" w:rsidRDefault="00000000" w:rsidRPr="00000000" w14:paraId="00000211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Ketepatan dalam menganalisis folklore dengan pendekatan strukturalisme melalui studi kasus yang relevan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Kriteria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Ketepatan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Kejelasan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3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33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Bentuk non test: </w:t>
            </w:r>
          </w:p>
          <w:p w:rsidR="00000000" w:rsidDel="00000000" w:rsidP="00000000" w:rsidRDefault="00000000" w:rsidRPr="00000000" w14:paraId="00000218">
            <w:pPr>
              <w:spacing w:after="0" w:line="233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Menyusun paper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21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Kuliah Luring </w:t>
            </w:r>
          </w:p>
          <w:p w:rsidR="00000000" w:rsidDel="00000000" w:rsidP="00000000" w:rsidRDefault="00000000" w:rsidRPr="00000000" w14:paraId="000002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1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Ceramah, Diskusi</w:t>
            </w:r>
          </w:p>
          <w:p w:rsidR="00000000" w:rsidDel="00000000" w:rsidP="00000000" w:rsidRDefault="00000000" w:rsidRPr="00000000" w14:paraId="0000021E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b w:val="1"/>
                <w:rtl w:val="0"/>
              </w:rPr>
              <w:t xml:space="preserve">: Non-test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46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3x50”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Jurnal, referensi berita aktual, fenomena terkait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0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UAS (pengumpulan paper)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Rule="auto"/>
              <w:ind w:left="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PENILAIAN</w:t>
      </w:r>
    </w:p>
    <w:tbl>
      <w:tblPr>
        <w:tblStyle w:val="Table4"/>
        <w:tblW w:w="48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1"/>
        <w:gridCol w:w="2422"/>
        <w:tblGridChange w:id="0">
          <w:tblGrid>
            <w:gridCol w:w="2421"/>
            <w:gridCol w:w="242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Jenis Penilaian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Bobot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Keaktifan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Tugas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Kuis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Presentasi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UTS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UAS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25%</w:t>
            </w:r>
          </w:p>
        </w:tc>
      </w:tr>
    </w:tbl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F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PENENTUAN NILAI AKHIR </w:t>
      </w:r>
    </w:p>
    <w:tbl>
      <w:tblPr>
        <w:tblStyle w:val="Table5"/>
        <w:tblW w:w="4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9"/>
        <w:gridCol w:w="1579"/>
        <w:gridCol w:w="1558"/>
        <w:tblGridChange w:id="0">
          <w:tblGrid>
            <w:gridCol w:w="1719"/>
            <w:gridCol w:w="1579"/>
            <w:gridCol w:w="15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Kisaran Nilai Akhir (NA)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Huruf Mutu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Angka Mutu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&gt; 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75&lt;NA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B+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 &lt;NA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 &lt;NA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C+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 &lt;NA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 &lt;NA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D+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 &lt;NA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0&lt; 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MATRIK PENILAIAN TERHADAP CPMK</w:t>
      </w:r>
    </w:p>
    <w:tbl>
      <w:tblPr>
        <w:tblStyle w:val="Table6"/>
        <w:tblW w:w="9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7"/>
        <w:gridCol w:w="2377"/>
        <w:gridCol w:w="2378"/>
        <w:gridCol w:w="2378"/>
        <w:tblGridChange w:id="0">
          <w:tblGrid>
            <w:gridCol w:w="2377"/>
            <w:gridCol w:w="2377"/>
            <w:gridCol w:w="2378"/>
            <w:gridCol w:w="23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CPMK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CPMK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CPMK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Keaktifan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Tugas 1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Tugas 2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Kuis 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Presentasi 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UTS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UAS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</w:tbl>
    <w:p w:rsidR="00000000" w:rsidDel="00000000" w:rsidP="00000000" w:rsidRDefault="00000000" w:rsidRPr="00000000" w14:paraId="000002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RANCANGAN TUGAS</w:t>
      </w:r>
    </w:p>
    <w:p w:rsidR="00000000" w:rsidDel="00000000" w:rsidP="00000000" w:rsidRDefault="00000000" w:rsidRPr="00000000" w14:paraId="0000027E">
      <w:pPr>
        <w:numPr>
          <w:ilvl w:val="0"/>
          <w:numId w:val="2"/>
        </w:num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Tugas terstruktur adalah tugas mandiri mahasiswa berupa pekerjaan rumah sesuai bahasan yang sudah disampaikan pada perkuliahan dikerjakan secara individu dan dapat dipresentasikan/ didiskusikan di kelas dalam pertemuan saat tatap muka.</w:t>
      </w:r>
    </w:p>
    <w:p w:rsidR="00000000" w:rsidDel="00000000" w:rsidP="00000000" w:rsidRDefault="00000000" w:rsidRPr="00000000" w14:paraId="0000027F">
      <w:pPr>
        <w:numPr>
          <w:ilvl w:val="0"/>
          <w:numId w:val="2"/>
        </w:num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Tugas kelompok berupa presentasi kelompok berupa hasil artikulasi dan diskusi suatu isu yang telah dibahas/tema yang telah ditentukan dengan bahan rujukan jurnal terkini dan sumber berita aktual.</w:t>
      </w:r>
      <w:r w:rsidDel="00000000" w:rsidR="00000000" w:rsidRPr="00000000">
        <w:rPr>
          <w:rtl w:val="0"/>
        </w:rPr>
      </w:r>
    </w:p>
    <w:sectPr>
      <w:footerReference r:id="rId8" w:type="default"/>
      <w:pgSz w:h="11907" w:w="16839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P2RP – LPP UB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5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LaDAXuuzLzhB7XSfnV+eAb3VCA==">CgMxLjA4AHIhMWpZMk5yMVNUZHVJUUowbjJyTWlGUDE3R1Rtb1NDcTJU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